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D648A">
      <w:pPr>
        <w:pStyle w:val="14"/>
        <w:rPr>
          <w:b/>
          <w:bCs/>
          <w:sz w:val="32"/>
          <w:szCs w:val="20"/>
        </w:rPr>
      </w:pPr>
      <w:r>
        <w:rPr>
          <w:b/>
          <w:bCs/>
          <w:sz w:val="32"/>
          <w:szCs w:val="20"/>
        </w:rPr>
        <w:t>ЧТУП   « ТЕХНОТУРСЕРВИС »</w:t>
      </w:r>
    </w:p>
    <w:p w14:paraId="5F26C02C">
      <w:pPr>
        <w:pStyle w:val="14"/>
        <w:rPr>
          <w:b/>
          <w:bCs/>
          <w:color w:val="000000"/>
          <w:sz w:val="20"/>
          <w:szCs w:val="22"/>
        </w:rPr>
      </w:pPr>
      <w:r>
        <w:rPr>
          <w:b/>
          <w:bCs/>
          <w:color w:val="000000"/>
          <w:sz w:val="20"/>
          <w:szCs w:val="22"/>
        </w:rPr>
        <w:t>г.Минск проспект Партизанский 81 офис 509 Гостиница «Турист» ст. метро Партизанская</w:t>
      </w:r>
    </w:p>
    <w:p w14:paraId="6CA7411B">
      <w:pPr>
        <w:pStyle w:val="14"/>
        <w:rPr>
          <w:b/>
          <w:bCs/>
          <w:color w:val="000000"/>
          <w:sz w:val="14"/>
          <w:szCs w:val="22"/>
        </w:rPr>
      </w:pPr>
    </w:p>
    <w:p w14:paraId="23A6A800">
      <w:pPr>
        <w:pStyle w:val="14"/>
        <w:rPr>
          <w:b/>
          <w:bCs/>
          <w:color w:val="000000"/>
          <w:sz w:val="18"/>
          <w:szCs w:val="22"/>
          <w:lang w:val="en-US"/>
        </w:rPr>
      </w:pPr>
      <w:r>
        <w:rPr>
          <w:b/>
          <w:bCs/>
          <w:color w:val="000000"/>
          <w:sz w:val="18"/>
          <w:szCs w:val="22"/>
        </w:rPr>
        <w:t>Тел</w:t>
      </w:r>
      <w:r>
        <w:rPr>
          <w:b/>
          <w:bCs/>
          <w:color w:val="000000"/>
          <w:sz w:val="18"/>
          <w:szCs w:val="22"/>
          <w:lang w:val="en-US"/>
        </w:rPr>
        <w:t>. +37517 3-47-01-91, +37529 6566662</w:t>
      </w:r>
      <w:r>
        <w:rPr>
          <w:b/>
          <w:bCs/>
          <w:sz w:val="18"/>
          <w:szCs w:val="22"/>
          <w:lang w:val="en-US"/>
        </w:rPr>
        <w:t xml:space="preserve"> WhatsApp ,Telegram</w:t>
      </w:r>
      <w:r>
        <w:rPr>
          <w:b/>
          <w:bCs/>
          <w:color w:val="000000"/>
          <w:sz w:val="18"/>
          <w:szCs w:val="22"/>
          <w:lang w:val="en-US"/>
        </w:rPr>
        <w:t xml:space="preserve"> , +37529 2339535 </w:t>
      </w:r>
      <w:r>
        <w:rPr>
          <w:b/>
          <w:bCs/>
          <w:color w:val="000000"/>
          <w:sz w:val="18"/>
          <w:szCs w:val="22"/>
        </w:rPr>
        <w:t>мтс</w:t>
      </w:r>
      <w:r>
        <w:rPr>
          <w:b/>
          <w:bCs/>
          <w:color w:val="000000"/>
          <w:sz w:val="18"/>
          <w:szCs w:val="22"/>
          <w:lang w:val="en-US"/>
        </w:rPr>
        <w:t xml:space="preserve"> +37525 6675034 </w:t>
      </w:r>
      <w:r>
        <w:rPr>
          <w:b/>
          <w:bCs/>
          <w:color w:val="000000"/>
          <w:sz w:val="18"/>
          <w:szCs w:val="22"/>
        </w:rPr>
        <w:t>лайф</w:t>
      </w:r>
      <w:r>
        <w:rPr>
          <w:b/>
          <w:bCs/>
          <w:color w:val="000000"/>
          <w:sz w:val="18"/>
          <w:szCs w:val="22"/>
          <w:lang w:val="en-US"/>
        </w:rPr>
        <w:t xml:space="preserve">,  </w:t>
      </w:r>
      <w:r>
        <w:rPr>
          <w:b/>
          <w:bCs/>
          <w:color w:val="000000"/>
          <w:sz w:val="18"/>
          <w:szCs w:val="22"/>
        </w:rPr>
        <w:t>е</w:t>
      </w:r>
      <w:r>
        <w:rPr>
          <w:b/>
          <w:bCs/>
          <w:color w:val="000000"/>
          <w:sz w:val="18"/>
          <w:szCs w:val="22"/>
          <w:lang w:val="en-US"/>
        </w:rPr>
        <w:t>-mail:tts2000@list.ru</w:t>
      </w:r>
    </w:p>
    <w:p w14:paraId="51D0FD56">
      <w:pPr>
        <w:pStyle w:val="14"/>
        <w:rPr>
          <w:b/>
          <w:bCs/>
          <w:color w:val="000000"/>
          <w:sz w:val="18"/>
          <w:szCs w:val="22"/>
          <w:lang w:val="en-US"/>
        </w:rPr>
      </w:pPr>
    </w:p>
    <w:p w14:paraId="07EE6711">
      <w:pPr>
        <w:bidi w:val="0"/>
        <w:jc w:val="center"/>
        <w:rPr>
          <w:b/>
          <w:bCs/>
          <w:sz w:val="21"/>
          <w:szCs w:val="21"/>
        </w:rPr>
      </w:pPr>
      <w:r>
        <w:rPr>
          <w:b/>
          <w:bCs/>
          <w:sz w:val="21"/>
          <w:szCs w:val="21"/>
          <w:lang w:val="en-US" w:eastAsia="zh-CN"/>
        </w:rPr>
        <w:t>«ГОСТЕПРИИМНАЯ ВЕНГРИЯ»</w:t>
      </w:r>
    </w:p>
    <w:p w14:paraId="6D2C6A6F">
      <w:pPr>
        <w:bidi w:val="0"/>
        <w:jc w:val="center"/>
        <w:rPr>
          <w:b/>
          <w:bCs/>
          <w:sz w:val="21"/>
          <w:szCs w:val="21"/>
        </w:rPr>
      </w:pPr>
      <w:r>
        <w:rPr>
          <w:b/>
          <w:bCs/>
          <w:sz w:val="21"/>
          <w:szCs w:val="21"/>
          <w:lang w:val="en-US" w:eastAsia="zh-CN"/>
        </w:rPr>
        <w:t>БУДАПЕШТ – БАЛАТОН* – ТИХАНЬ* – КУРОРТ ХЕВИЗ* – ИЗЛУЧИНА ДУНАЯ (СЕНТЭНДРЕ – КРЕПОСТЬ ВЫШЕГРАД)* – ВЕНА</w:t>
      </w:r>
    </w:p>
    <w:p w14:paraId="7596626A">
      <w:pPr>
        <w:jc w:val="center"/>
        <w:rPr>
          <w:rStyle w:val="18"/>
          <w:rFonts w:hint="default"/>
          <w:sz w:val="24"/>
          <w:szCs w:val="24"/>
          <w:lang w:val="ru-RU"/>
        </w:rPr>
      </w:pPr>
    </w:p>
    <w:p w14:paraId="10596202">
      <w:pPr>
        <w:pStyle w:val="16"/>
        <w:spacing w:before="0" w:beforeAutospacing="0" w:after="0" w:afterAutospacing="0"/>
        <w:jc w:val="center"/>
        <w:rPr>
          <w:rFonts w:ascii="SimSun" w:hAnsi="SimSun" w:eastAsia="SimSun" w:cs="SimSun"/>
          <w:b/>
          <w:bCs/>
          <w:sz w:val="24"/>
          <w:szCs w:val="24"/>
        </w:rPr>
      </w:pPr>
      <w:r>
        <w:rPr>
          <w:b/>
          <w:bCs/>
          <w:color w:val="000000"/>
          <w:sz w:val="28"/>
          <w:szCs w:val="28"/>
        </w:rPr>
        <w:t xml:space="preserve">Даты выездов: </w:t>
      </w:r>
      <w:r>
        <w:rPr>
          <w:rFonts w:hint="default"/>
          <w:b/>
          <w:bCs/>
          <w:color w:val="000000"/>
          <w:sz w:val="28"/>
          <w:szCs w:val="28"/>
          <w:lang w:val="ru-RU"/>
        </w:rPr>
        <w:t xml:space="preserve"> </w:t>
      </w:r>
      <w:r>
        <w:rPr>
          <w:rFonts w:hint="default" w:ascii="SimSun" w:hAnsi="SimSun" w:eastAsia="SimSun" w:cs="SimSun"/>
          <w:sz w:val="24"/>
          <w:szCs w:val="24"/>
          <w:lang w:val="ru-RU"/>
        </w:rPr>
        <w:t xml:space="preserve">  </w:t>
      </w:r>
      <w:r>
        <w:rPr>
          <w:rFonts w:ascii="SimSun" w:hAnsi="SimSun" w:eastAsia="SimSun" w:cs="SimSun"/>
          <w:sz w:val="24"/>
          <w:szCs w:val="24"/>
        </w:rPr>
        <w:t xml:space="preserve"> </w:t>
      </w:r>
      <w:r>
        <w:rPr>
          <w:rFonts w:ascii="SimSun" w:hAnsi="SimSun" w:eastAsia="SimSun" w:cs="SimSun"/>
          <w:b/>
          <w:bCs/>
          <w:sz w:val="24"/>
          <w:szCs w:val="24"/>
        </w:rPr>
        <w:t>2</w:t>
      </w:r>
      <w:r>
        <w:rPr>
          <w:rFonts w:hint="default" w:ascii="SimSun" w:hAnsi="SimSun" w:eastAsia="SimSun" w:cs="SimSun"/>
          <w:b/>
          <w:bCs/>
          <w:sz w:val="24"/>
          <w:szCs w:val="24"/>
          <w:lang w:val="ru-RU"/>
        </w:rPr>
        <w:t>6</w:t>
      </w:r>
      <w:r>
        <w:rPr>
          <w:rFonts w:ascii="SimSun" w:hAnsi="SimSun" w:eastAsia="SimSun" w:cs="SimSun"/>
          <w:b/>
          <w:bCs/>
          <w:sz w:val="24"/>
          <w:szCs w:val="24"/>
        </w:rPr>
        <w:t>.0</w:t>
      </w:r>
      <w:r>
        <w:rPr>
          <w:rFonts w:hint="default" w:ascii="SimSun" w:hAnsi="SimSun" w:eastAsia="SimSun" w:cs="SimSun"/>
          <w:b/>
          <w:bCs/>
          <w:sz w:val="24"/>
          <w:szCs w:val="24"/>
          <w:lang w:val="ru-RU"/>
        </w:rPr>
        <w:t>7</w:t>
      </w:r>
      <w:r>
        <w:rPr>
          <w:rFonts w:ascii="SimSun" w:hAnsi="SimSun" w:eastAsia="SimSun" w:cs="SimSun"/>
          <w:b/>
          <w:bCs/>
          <w:sz w:val="24"/>
          <w:szCs w:val="24"/>
        </w:rPr>
        <w:t>.2026, 1</w:t>
      </w:r>
      <w:r>
        <w:rPr>
          <w:rFonts w:hint="default" w:ascii="SimSun" w:hAnsi="SimSun" w:eastAsia="SimSun" w:cs="SimSun"/>
          <w:b/>
          <w:bCs/>
          <w:sz w:val="24"/>
          <w:szCs w:val="24"/>
          <w:lang w:val="ru-RU"/>
        </w:rPr>
        <w:t>6</w:t>
      </w:r>
      <w:r>
        <w:rPr>
          <w:rFonts w:ascii="SimSun" w:hAnsi="SimSun" w:eastAsia="SimSun" w:cs="SimSun"/>
          <w:b/>
          <w:bCs/>
          <w:sz w:val="24"/>
          <w:szCs w:val="24"/>
        </w:rPr>
        <w:t>.0</w:t>
      </w:r>
      <w:r>
        <w:rPr>
          <w:rFonts w:hint="default" w:ascii="SimSun" w:hAnsi="SimSun" w:eastAsia="SimSun" w:cs="SimSun"/>
          <w:b/>
          <w:bCs/>
          <w:sz w:val="24"/>
          <w:szCs w:val="24"/>
          <w:lang w:val="ru-RU"/>
        </w:rPr>
        <w:t>8</w:t>
      </w:r>
      <w:r>
        <w:rPr>
          <w:rFonts w:ascii="SimSun" w:hAnsi="SimSun" w:eastAsia="SimSun" w:cs="SimSun"/>
          <w:b/>
          <w:bCs/>
          <w:sz w:val="24"/>
          <w:szCs w:val="24"/>
        </w:rPr>
        <w:t>.2026</w:t>
      </w:r>
      <w:r>
        <w:rPr>
          <w:rFonts w:hint="default" w:ascii="SimSun" w:hAnsi="SimSun" w:eastAsia="SimSun" w:cs="SimSun"/>
          <w:b/>
          <w:bCs/>
          <w:sz w:val="24"/>
          <w:szCs w:val="24"/>
          <w:lang w:val="ru-RU"/>
        </w:rPr>
        <w:t>.</w:t>
      </w:r>
    </w:p>
    <w:p w14:paraId="40D5163D">
      <w:pPr>
        <w:pStyle w:val="16"/>
        <w:spacing w:before="0" w:beforeAutospacing="0" w:after="0" w:afterAutospacing="0"/>
        <w:jc w:val="center"/>
        <w:rPr>
          <w:rFonts w:ascii="SimSun" w:hAnsi="SimSun" w:eastAsia="SimSun" w:cs="SimSun"/>
          <w:b/>
          <w:bCs/>
          <w:sz w:val="24"/>
          <w:szCs w:val="24"/>
        </w:rPr>
      </w:pPr>
    </w:p>
    <w:p w14:paraId="3F8AFD1F">
      <w:pPr>
        <w:pStyle w:val="16"/>
        <w:spacing w:before="0" w:beforeAutospacing="0" w:after="0" w:afterAutospacing="0"/>
        <w:jc w:val="center"/>
        <w:rPr>
          <w:rFonts w:hint="default" w:ascii="SimSun" w:hAnsi="SimSun" w:eastAsia="SimSun" w:cs="SimSun"/>
          <w:b/>
          <w:bCs/>
          <w:sz w:val="24"/>
          <w:szCs w:val="24"/>
          <w:lang w:val="ru-RU"/>
        </w:rPr>
      </w:pPr>
      <w:r>
        <w:rPr>
          <w:rFonts w:ascii="SimSun" w:hAnsi="SimSun" w:eastAsia="SimSun" w:cs="SimSun"/>
          <w:b/>
          <w:bCs/>
          <w:sz w:val="24"/>
          <w:szCs w:val="24"/>
          <w:lang w:val="ru-RU"/>
        </w:rPr>
        <w:t>Стоимость</w:t>
      </w:r>
      <w:r>
        <w:rPr>
          <w:rFonts w:hint="default" w:ascii="SimSun" w:hAnsi="SimSun" w:eastAsia="SimSun" w:cs="SimSun"/>
          <w:b/>
          <w:bCs/>
          <w:sz w:val="24"/>
          <w:szCs w:val="24"/>
          <w:lang w:val="ru-RU"/>
        </w:rPr>
        <w:t xml:space="preserve"> тура 445 евро + 250 рублей</w:t>
      </w:r>
    </w:p>
    <w:p w14:paraId="5011A1FF">
      <w:pPr>
        <w:pStyle w:val="16"/>
        <w:spacing w:before="0" w:beforeAutospacing="0" w:after="0" w:afterAutospacing="0"/>
        <w:ind w:firstLine="567"/>
        <w:jc w:val="center"/>
      </w:pPr>
      <w:r>
        <w:rPr>
          <w:b/>
          <w:bCs/>
          <w:color w:val="000000"/>
          <w:sz w:val="22"/>
          <w:szCs w:val="22"/>
        </w:rPr>
        <w:t>Программа тура:</w:t>
      </w:r>
    </w:p>
    <w:tbl>
      <w:tblPr>
        <w:tblStyle w:val="7"/>
        <w:tblW w:w="0" w:type="auto"/>
        <w:tblInd w:w="0" w:type="dxa"/>
        <w:tblLayout w:type="autofit"/>
        <w:tblCellMar>
          <w:top w:w="15" w:type="dxa"/>
          <w:left w:w="15" w:type="dxa"/>
          <w:bottom w:w="15" w:type="dxa"/>
          <w:right w:w="15" w:type="dxa"/>
        </w:tblCellMar>
      </w:tblPr>
      <w:tblGrid>
        <w:gridCol w:w="729"/>
        <w:gridCol w:w="10557"/>
      </w:tblGrid>
      <w:tr w14:paraId="06DA73B5">
        <w:tblPrEx>
          <w:tblCellMar>
            <w:top w:w="15" w:type="dxa"/>
            <w:left w:w="15" w:type="dxa"/>
            <w:bottom w:w="15" w:type="dxa"/>
            <w:right w:w="15" w:type="dxa"/>
          </w:tblCellMar>
        </w:tblPrEx>
        <w:trPr>
          <w:trHeight w:val="275" w:hRule="atLeast"/>
        </w:trPr>
        <w:tc>
          <w:tcPr>
            <w:tcW w:w="72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F80811D">
            <w:pPr>
              <w:pStyle w:val="16"/>
              <w:spacing w:before="0" w:beforeAutospacing="0" w:after="0" w:afterAutospacing="0"/>
              <w:rPr>
                <w:sz w:val="21"/>
                <w:szCs w:val="21"/>
              </w:rPr>
            </w:pPr>
            <w:r>
              <w:rPr>
                <w:b/>
                <w:bCs/>
                <w:color w:val="000000"/>
                <w:sz w:val="20"/>
                <w:szCs w:val="20"/>
              </w:rPr>
              <w:t>1</w:t>
            </w:r>
            <w:r>
              <w:rPr>
                <w:rFonts w:hint="default"/>
                <w:b/>
                <w:bCs/>
                <w:color w:val="000000"/>
                <w:sz w:val="20"/>
                <w:szCs w:val="20"/>
                <w:lang w:val="ru-RU"/>
              </w:rPr>
              <w:t xml:space="preserve"> д</w:t>
            </w:r>
            <w:r>
              <w:rPr>
                <w:b/>
                <w:bCs/>
                <w:color w:val="000000"/>
                <w:sz w:val="20"/>
                <w:szCs w:val="20"/>
              </w:rPr>
              <w:t>ень</w:t>
            </w:r>
          </w:p>
        </w:tc>
        <w:tc>
          <w:tcPr>
            <w:tcW w:w="105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FE60856">
            <w:pPr>
              <w:pStyle w:val="16"/>
              <w:spacing w:before="0" w:beforeAutospacing="0" w:after="0" w:afterAutospacing="0"/>
              <w:rPr>
                <w:rFonts w:hint="default"/>
                <w:lang w:val="ru-RU"/>
              </w:rPr>
            </w:pPr>
            <w:r>
              <w:rPr>
                <w:rFonts w:hint="default"/>
                <w:color w:val="000000"/>
                <w:sz w:val="22"/>
                <w:szCs w:val="22"/>
                <w:lang w:val="ru-RU"/>
              </w:rPr>
              <w:t xml:space="preserve"> </w:t>
            </w:r>
            <w:r>
              <w:rPr>
                <w:rFonts w:hint="default"/>
                <w:sz w:val="20"/>
                <w:szCs w:val="20"/>
                <w:lang w:val="ru-RU"/>
              </w:rPr>
              <w:t xml:space="preserve"> </w:t>
            </w:r>
            <w:r>
              <w:rPr>
                <w:sz w:val="20"/>
                <w:szCs w:val="20"/>
              </w:rPr>
              <w:t>Выезд из Минска (накануне днем). Транзит по Беларуси, РП, Словакии. Ночлег в Будапеште.</w:t>
            </w:r>
          </w:p>
        </w:tc>
      </w:tr>
      <w:tr w14:paraId="58476763">
        <w:tblPrEx>
          <w:tblCellMar>
            <w:top w:w="15" w:type="dxa"/>
            <w:left w:w="15" w:type="dxa"/>
            <w:bottom w:w="15" w:type="dxa"/>
            <w:right w:w="15" w:type="dxa"/>
          </w:tblCellMar>
        </w:tblPrEx>
        <w:tc>
          <w:tcPr>
            <w:tcW w:w="72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5959D88">
            <w:pPr>
              <w:pStyle w:val="16"/>
              <w:spacing w:before="0" w:beforeAutospacing="0" w:after="0" w:afterAutospacing="0"/>
              <w:rPr>
                <w:sz w:val="21"/>
                <w:szCs w:val="21"/>
              </w:rPr>
            </w:pPr>
            <w:r>
              <w:rPr>
                <w:b/>
                <w:bCs/>
                <w:color w:val="000000"/>
                <w:sz w:val="20"/>
                <w:szCs w:val="20"/>
              </w:rPr>
              <w:t>2</w:t>
            </w:r>
            <w:r>
              <w:rPr>
                <w:rFonts w:hint="default"/>
                <w:b/>
                <w:bCs/>
                <w:color w:val="000000"/>
                <w:sz w:val="20"/>
                <w:szCs w:val="20"/>
                <w:lang w:val="ru-RU"/>
              </w:rPr>
              <w:t xml:space="preserve"> </w:t>
            </w:r>
            <w:r>
              <w:rPr>
                <w:b/>
                <w:bCs/>
                <w:color w:val="000000"/>
                <w:sz w:val="20"/>
                <w:szCs w:val="20"/>
              </w:rPr>
              <w:t>день</w:t>
            </w:r>
          </w:p>
        </w:tc>
        <w:tc>
          <w:tcPr>
            <w:tcW w:w="105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48F88C1">
            <w:pPr>
              <w:bidi w:val="0"/>
              <w:rPr>
                <w:sz w:val="20"/>
                <w:szCs w:val="20"/>
              </w:rPr>
            </w:pPr>
            <w:r>
              <w:rPr>
                <w:rFonts w:hint="default"/>
                <w:color w:val="000000"/>
                <w:lang w:val="ru-RU"/>
              </w:rPr>
              <w:t xml:space="preserve"> </w:t>
            </w:r>
            <w:r>
              <w:rPr>
                <w:sz w:val="20"/>
                <w:szCs w:val="20"/>
                <w:lang w:val="en-US" w:eastAsia="zh-CN"/>
              </w:rPr>
              <w:t>Завтрак. Обзорная экскурсия «Равнинный Пешт: «Жемчужина Дуная» - Будапешт! Город с древней историей, культурой, традициями, жизненная сила которого пульсирует в каждом его уголке. Площадь Героев, замок Вайдахуньад, проспект Андраши, Базилика Св. Иштвана и другое.</w:t>
            </w:r>
          </w:p>
          <w:p w14:paraId="5794B53C">
            <w:pPr>
              <w:bidi w:val="0"/>
              <w:rPr>
                <w:sz w:val="20"/>
                <w:szCs w:val="20"/>
              </w:rPr>
            </w:pPr>
            <w:r>
              <w:rPr>
                <w:sz w:val="20"/>
                <w:szCs w:val="20"/>
                <w:lang w:val="en-US" w:eastAsia="zh-CN"/>
              </w:rPr>
              <w:t>Для желающих будет организована экскурсия «Королевская Буда» (доп. пл. 15€ при группе не менее 20 чел.): Рыбацкий бастион, собор Св.Матияша, где венчались все королевские семьи Европы, памятник Святой Троице и сам Королевский Дворец.</w:t>
            </w:r>
          </w:p>
          <w:p w14:paraId="135A8E69">
            <w:pPr>
              <w:bidi w:val="0"/>
              <w:rPr>
                <w:sz w:val="20"/>
                <w:szCs w:val="20"/>
              </w:rPr>
            </w:pPr>
            <w:r>
              <w:rPr>
                <w:sz w:val="20"/>
                <w:szCs w:val="20"/>
                <w:lang w:val="en-US" w:eastAsia="zh-CN"/>
              </w:rPr>
              <w:t>Затем предлагается обед в ресторане «Тrofea Grill» (доплата 35 €). Известная сеть ресторанов венгерской кухни в Будапеште. Работает как шведский стол. Но главный хит ресторана — это возможность выбрать свежее мясо (начиная от курицы и заканчивая креветками) и отдать повару, который на ваших глазах зажарит его на гриле. Вино, шампанское, пиво и соки без ограничения.</w:t>
            </w:r>
          </w:p>
          <w:p w14:paraId="57C9156A">
            <w:pPr>
              <w:bidi w:val="0"/>
              <w:rPr>
                <w:rFonts w:hint="default"/>
                <w:lang w:val="ru-RU"/>
              </w:rPr>
            </w:pPr>
            <w:r>
              <w:rPr>
                <w:sz w:val="20"/>
                <w:szCs w:val="20"/>
                <w:lang w:val="en-US" w:eastAsia="zh-CN"/>
              </w:rPr>
              <w:t>Вечером для желающих прогулка на теплоходе по Дунаю «В свете тысячи огней» (билет 25 €). Семь мостов служат украшением прекрасного голубого Дуная, они словно нити жемчуга связывают две части города – Буду и Пешт. Ночлег в Будапеште.</w:t>
            </w:r>
          </w:p>
        </w:tc>
      </w:tr>
      <w:tr w14:paraId="10F70EF5">
        <w:tblPrEx>
          <w:tblCellMar>
            <w:top w:w="15" w:type="dxa"/>
            <w:left w:w="15" w:type="dxa"/>
            <w:bottom w:w="15" w:type="dxa"/>
            <w:right w:w="15" w:type="dxa"/>
          </w:tblCellMar>
        </w:tblPrEx>
        <w:tc>
          <w:tcPr>
            <w:tcW w:w="72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6561FAD">
            <w:pPr>
              <w:pStyle w:val="16"/>
              <w:spacing w:before="0" w:beforeAutospacing="0" w:after="0" w:afterAutospacing="0"/>
              <w:rPr>
                <w:sz w:val="21"/>
                <w:szCs w:val="21"/>
              </w:rPr>
            </w:pPr>
            <w:r>
              <w:rPr>
                <w:b/>
                <w:bCs/>
                <w:color w:val="000000"/>
                <w:sz w:val="20"/>
                <w:szCs w:val="20"/>
              </w:rPr>
              <w:t>3</w:t>
            </w:r>
            <w:r>
              <w:rPr>
                <w:rFonts w:hint="default"/>
                <w:b/>
                <w:bCs/>
                <w:color w:val="000000"/>
                <w:sz w:val="20"/>
                <w:szCs w:val="20"/>
                <w:lang w:val="ru-RU"/>
              </w:rPr>
              <w:t xml:space="preserve"> </w:t>
            </w:r>
            <w:r>
              <w:rPr>
                <w:b/>
                <w:bCs/>
                <w:color w:val="000000"/>
                <w:sz w:val="20"/>
                <w:szCs w:val="20"/>
              </w:rPr>
              <w:t>день</w:t>
            </w:r>
          </w:p>
        </w:tc>
        <w:tc>
          <w:tcPr>
            <w:tcW w:w="105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82618F1">
            <w:pPr>
              <w:bidi w:val="0"/>
              <w:rPr>
                <w:sz w:val="20"/>
                <w:szCs w:val="20"/>
              </w:rPr>
            </w:pPr>
            <w:r>
              <w:rPr>
                <w:sz w:val="20"/>
                <w:szCs w:val="20"/>
                <w:lang w:val="en-US" w:eastAsia="zh-CN"/>
              </w:rPr>
              <w:t>Завтрак. Свободный день в Будапеште.</w:t>
            </w:r>
          </w:p>
          <w:p w14:paraId="538F4E92">
            <w:pPr>
              <w:bidi w:val="0"/>
              <w:rPr>
                <w:sz w:val="20"/>
                <w:szCs w:val="20"/>
              </w:rPr>
            </w:pPr>
            <w:r>
              <w:rPr>
                <w:sz w:val="20"/>
                <w:szCs w:val="20"/>
                <w:lang w:val="en-US" w:eastAsia="zh-CN"/>
              </w:rPr>
              <w:t>Для желающих предлагается факультативная экскурсия на Хевиз и Балатон (доплата 35 €).</w:t>
            </w:r>
          </w:p>
          <w:p w14:paraId="26CC9183">
            <w:pPr>
              <w:bidi w:val="0"/>
            </w:pPr>
            <w:r>
              <w:rPr>
                <w:sz w:val="20"/>
                <w:szCs w:val="20"/>
                <w:lang w:val="en-US" w:eastAsia="zh-CN"/>
              </w:rPr>
              <w:t xml:space="preserve">Вы целый день проведёте в живописных курортных местах Венгрии. Желающие смогут поплавать и полюбоваться спокойной гладью озера Балатон, искупаться в уникальном термальном озере Хевиз (билет ~15 € ), посетить лавандовый полуостров Тихань. Возвращение в Будапешт. Ночлег. </w:t>
            </w:r>
          </w:p>
        </w:tc>
      </w:tr>
      <w:tr w14:paraId="5BE670E2">
        <w:tblPrEx>
          <w:tblCellMar>
            <w:top w:w="15" w:type="dxa"/>
            <w:left w:w="15" w:type="dxa"/>
            <w:bottom w:w="15" w:type="dxa"/>
            <w:right w:w="15" w:type="dxa"/>
          </w:tblCellMar>
        </w:tblPrEx>
        <w:tc>
          <w:tcPr>
            <w:tcW w:w="72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105819A">
            <w:pPr>
              <w:pStyle w:val="16"/>
              <w:spacing w:before="0" w:beforeAutospacing="0" w:after="0" w:afterAutospacing="0"/>
            </w:pPr>
            <w:r>
              <w:rPr>
                <w:b/>
                <w:bCs/>
                <w:color w:val="000000"/>
                <w:sz w:val="22"/>
                <w:szCs w:val="22"/>
              </w:rPr>
              <w:t>4 день</w:t>
            </w:r>
          </w:p>
        </w:tc>
        <w:tc>
          <w:tcPr>
            <w:tcW w:w="105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A8602AA">
            <w:pPr>
              <w:bidi w:val="0"/>
              <w:rPr>
                <w:sz w:val="20"/>
                <w:szCs w:val="20"/>
              </w:rPr>
            </w:pPr>
            <w:r>
              <w:rPr>
                <w:sz w:val="20"/>
                <w:szCs w:val="20"/>
                <w:lang w:val="en-US" w:eastAsia="zh-CN"/>
              </w:rPr>
              <w:t>Завтрак. Свободное время в Будапеште.</w:t>
            </w:r>
          </w:p>
          <w:p w14:paraId="090CD247">
            <w:pPr>
              <w:bidi w:val="0"/>
              <w:rPr>
                <w:sz w:val="20"/>
                <w:szCs w:val="20"/>
              </w:rPr>
            </w:pPr>
            <w:r>
              <w:rPr>
                <w:sz w:val="20"/>
                <w:szCs w:val="20"/>
                <w:lang w:val="en-US" w:eastAsia="zh-CN"/>
              </w:rPr>
              <w:t>Для желающих предлагается факультативная экскурсия в излучину Дуная c осмотром марципанового городка Сентендре и Вишеградской крепости (доплата 20 €).</w:t>
            </w:r>
          </w:p>
          <w:p w14:paraId="7B49DE6A">
            <w:pPr>
              <w:bidi w:val="0"/>
            </w:pPr>
            <w:r>
              <w:rPr>
                <w:sz w:val="20"/>
                <w:szCs w:val="20"/>
                <w:lang w:val="en-US" w:eastAsia="zh-CN"/>
              </w:rPr>
              <w:t>Сентэндре - замечательный и уютный городок, где можно окунуться в атмосферу старинных улиц, маленьких церквушек, музеев и сувенирных лавочек. Именно здесь стоит попробовать настоящие марципаны и провести сладкие минуты в мире сказки. Пешеходная прогулка по городу и возможность посещения музея марципан (вх. билет 5 €). Вышеград – полуразрушенная цитадель 13 века с потрясающими видами на излучину Дуная и окрестности (вх. билет 7,5 €).Возвращение в Будапешт. Свободное время. Ночлег в Будапеште.</w:t>
            </w:r>
          </w:p>
        </w:tc>
      </w:tr>
      <w:tr w14:paraId="789434B7">
        <w:tblPrEx>
          <w:tblCellMar>
            <w:top w:w="15" w:type="dxa"/>
            <w:left w:w="15" w:type="dxa"/>
            <w:bottom w:w="15" w:type="dxa"/>
            <w:right w:w="15" w:type="dxa"/>
          </w:tblCellMar>
        </w:tblPrEx>
        <w:tc>
          <w:tcPr>
            <w:tcW w:w="72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28568FE">
            <w:pPr>
              <w:pStyle w:val="16"/>
              <w:spacing w:before="0" w:beforeAutospacing="0" w:after="0" w:afterAutospacing="0"/>
            </w:pPr>
            <w:r>
              <w:rPr>
                <w:b/>
                <w:bCs/>
                <w:color w:val="000000"/>
                <w:sz w:val="22"/>
                <w:szCs w:val="22"/>
              </w:rPr>
              <w:t>5 день</w:t>
            </w:r>
          </w:p>
        </w:tc>
        <w:tc>
          <w:tcPr>
            <w:tcW w:w="105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122E183">
            <w:pPr>
              <w:bidi w:val="0"/>
              <w:rPr>
                <w:sz w:val="20"/>
                <w:szCs w:val="20"/>
              </w:rPr>
            </w:pPr>
            <w:r>
              <w:rPr>
                <w:sz w:val="20"/>
                <w:szCs w:val="20"/>
                <w:lang w:val="en-US" w:eastAsia="zh-CN"/>
              </w:rPr>
              <w:t>Завтрак. Выселение из отеля. Переезд в Вену (Австрия).</w:t>
            </w:r>
          </w:p>
          <w:p w14:paraId="3089A19F">
            <w:pPr>
              <w:bidi w:val="0"/>
              <w:rPr>
                <w:sz w:val="20"/>
                <w:szCs w:val="20"/>
              </w:rPr>
            </w:pPr>
            <w:r>
              <w:rPr>
                <w:sz w:val="20"/>
                <w:szCs w:val="20"/>
                <w:lang w:val="en-US" w:eastAsia="zh-CN"/>
              </w:rPr>
              <w:t xml:space="preserve">В этом замечательном городе мы проведем 9 часов. </w:t>
            </w:r>
          </w:p>
          <w:p w14:paraId="681282C2">
            <w:pPr>
              <w:bidi w:val="0"/>
              <w:rPr>
                <w:sz w:val="20"/>
                <w:szCs w:val="20"/>
              </w:rPr>
            </w:pPr>
            <w:r>
              <w:rPr>
                <w:sz w:val="20"/>
                <w:szCs w:val="20"/>
                <w:lang w:val="en-US" w:eastAsia="zh-CN"/>
              </w:rPr>
              <w:t xml:space="preserve">По приезду пешеходная обзорная экскурсия «Вена – столица Габсбургов» (в цене тура), один из самых романтичных и красивых городов мира. Здесь жили и творили великие музыканты – Гайдн, Моцарт, Бетховен, Шуберт, Брамс, Штраус. Узкие средневековые улочки, широкие имперские площади… Кольцевой бульвар, Ратуша, Парламент, Венская опера, и конечно – собор святого Стефана – духовного символа истории и судьбы Австрии. </w:t>
            </w:r>
          </w:p>
          <w:p w14:paraId="11B03A7C">
            <w:pPr>
              <w:bidi w:val="0"/>
              <w:rPr>
                <w:sz w:val="20"/>
                <w:szCs w:val="20"/>
              </w:rPr>
            </w:pPr>
            <w:r>
              <w:rPr>
                <w:sz w:val="20"/>
                <w:szCs w:val="20"/>
                <w:lang w:val="en-US" w:eastAsia="zh-CN"/>
              </w:rPr>
              <w:t>Свободное время для обеда, посещения музеев города и покупок.</w:t>
            </w:r>
          </w:p>
          <w:p w14:paraId="5DB486DA">
            <w:pPr>
              <w:bidi w:val="0"/>
              <w:rPr>
                <w:sz w:val="20"/>
                <w:szCs w:val="20"/>
              </w:rPr>
            </w:pPr>
            <w:r>
              <w:rPr>
                <w:sz w:val="20"/>
                <w:szCs w:val="20"/>
                <w:lang w:val="en-US" w:eastAsia="zh-CN"/>
              </w:rPr>
              <w:t>Также предлагается вечерняя экскурсия «Неожиданные уголки средневековой Вены» (доплата 20 €). Эта экскурсия для путешественников, которые уже видели все самые главные достопримечательности, а теперь хотят посмотреть на Вену с другого ракурса. Вас ждёт прогулка по улочкам старого города вдали от протоптанных туристических троп. Вы побываете на площади имени Францисканцев, увидите то, что скрыто от глаз обывателя, например, действующую масонскую ложу, а также церковь Тевтонского ордена, дом Моцарта и другое...</w:t>
            </w:r>
          </w:p>
          <w:p w14:paraId="3CAA9EA0">
            <w:pPr>
              <w:bidi w:val="0"/>
            </w:pPr>
            <w:r>
              <w:rPr>
                <w:sz w:val="20"/>
                <w:szCs w:val="20"/>
                <w:lang w:val="en-US" w:eastAsia="zh-CN"/>
              </w:rPr>
              <w:t>Выезд в Минск (время выезда указывает руководитель). Транзит по территории Австрии, Чехии, РП. Ночной переезд.</w:t>
            </w:r>
          </w:p>
        </w:tc>
      </w:tr>
      <w:tr w14:paraId="3DF01B1F">
        <w:tblPrEx>
          <w:tblCellMar>
            <w:top w:w="15" w:type="dxa"/>
            <w:left w:w="15" w:type="dxa"/>
            <w:bottom w:w="15" w:type="dxa"/>
            <w:right w:w="15" w:type="dxa"/>
          </w:tblCellMar>
        </w:tblPrEx>
        <w:tc>
          <w:tcPr>
            <w:tcW w:w="72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8B75374">
            <w:pPr>
              <w:pStyle w:val="16"/>
              <w:spacing w:before="0" w:beforeAutospacing="0" w:after="0" w:afterAutospacing="0"/>
            </w:pPr>
            <w:r>
              <w:rPr>
                <w:b/>
                <w:bCs/>
                <w:color w:val="000000"/>
                <w:sz w:val="22"/>
                <w:szCs w:val="22"/>
              </w:rPr>
              <w:t>6 день</w:t>
            </w:r>
          </w:p>
        </w:tc>
        <w:tc>
          <w:tcPr>
            <w:tcW w:w="105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E7948F0">
            <w:pPr>
              <w:bidi w:val="0"/>
            </w:pPr>
            <w:r>
              <w:rPr>
                <w:sz w:val="20"/>
                <w:szCs w:val="20"/>
              </w:rPr>
              <w:t>Транзит по территории РБ. Прибытие в Минск во второй половине дня.</w:t>
            </w:r>
          </w:p>
        </w:tc>
      </w:tr>
    </w:tbl>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560"/>
      </w:tblGrid>
      <w:tr w14:paraId="7FED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wBefore w:w="15" w:type="dxa"/>
          <w:wAfter w:w="711" w:type="dxa"/>
        </w:trPr>
        <w:tc>
          <w:tcPr>
            <w:tcW w:w="10560" w:type="dxa"/>
            <w:shd w:val="clear"/>
            <w:tcMar>
              <w:left w:w="100" w:type="dxa"/>
              <w:right w:w="100" w:type="dxa"/>
            </w:tcMar>
            <w:vAlign w:val="center"/>
          </w:tcPr>
          <w:p w14:paraId="376CC91A">
            <w:pPr>
              <w:bidi w:val="0"/>
              <w:rPr>
                <w:sz w:val="21"/>
                <w:szCs w:val="21"/>
              </w:rPr>
            </w:pPr>
            <w:r>
              <w:rPr>
                <w:b/>
                <w:bCs/>
                <w:sz w:val="21"/>
                <w:szCs w:val="21"/>
                <w:lang w:val="en-US" w:eastAsia="zh-CN"/>
              </w:rPr>
              <w:t xml:space="preserve">Стоимость тура включает: </w:t>
            </w:r>
            <w:r>
              <w:rPr>
                <w:sz w:val="21"/>
                <w:szCs w:val="21"/>
                <w:lang w:val="en-US" w:eastAsia="zh-CN"/>
              </w:rPr>
              <w:t>проезд комфортабельным автобусом, 4 ночлега в Венгрии, питание – 4 завтрака в отелях, экскурсионно</w:t>
            </w:r>
            <w:bookmarkStart w:id="0" w:name="_GoBack"/>
            <w:bookmarkEnd w:id="0"/>
            <w:r>
              <w:rPr>
                <w:sz w:val="21"/>
                <w:szCs w:val="21"/>
                <w:lang w:val="en-US" w:eastAsia="zh-CN"/>
              </w:rPr>
              <w:t>е обслуживание без входных билетов.</w:t>
            </w:r>
          </w:p>
        </w:tc>
      </w:tr>
      <w:tr w14:paraId="572D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wBefore w:w="15" w:type="dxa"/>
          <w:wAfter w:w="711" w:type="dxa"/>
        </w:trPr>
        <w:tc>
          <w:tcPr>
            <w:tcW w:w="10560" w:type="dxa"/>
            <w:shd w:val="clear"/>
            <w:tcMar>
              <w:left w:w="100" w:type="dxa"/>
              <w:right w:w="100" w:type="dxa"/>
            </w:tcMar>
            <w:vAlign w:val="center"/>
          </w:tcPr>
          <w:p w14:paraId="55D89664">
            <w:pPr>
              <w:bidi w:val="0"/>
              <w:rPr>
                <w:sz w:val="21"/>
                <w:szCs w:val="21"/>
              </w:rPr>
            </w:pPr>
            <w:r>
              <w:rPr>
                <w:b/>
                <w:bCs/>
                <w:sz w:val="21"/>
                <w:szCs w:val="21"/>
                <w:lang w:val="en-US" w:eastAsia="zh-CN"/>
              </w:rPr>
              <w:t>Стоимость тура не включает:</w:t>
            </w:r>
            <w:r>
              <w:rPr>
                <w:sz w:val="21"/>
                <w:szCs w:val="21"/>
                <w:lang w:val="en-US" w:eastAsia="zh-CN"/>
              </w:rPr>
              <w:t xml:space="preserve"> консульский сбор /услуги визового центра, медицинскую страховку. Факультативные экскурсии (организуются от 20 туристов): экскурсия «Королевская Буда» 15€, кораблик по Дунаю 25 €, Хевиз+Балатон 35 €, Излучина Дуная 20 €, обед в ресторане «Тrofea Grill» 35 €, Средневековая Вена 20 €. Входные билеты: крепость Вышеград 7,5 €, в купальню озера Хевиз ~ 15 €, купальни Сечени в Будапеште ~ 31 €. Обязательные оплаты: городские налоги в отелях Венгрии и Чехии 10 € , использование наушников во время тура 10 € за все дни.</w:t>
            </w:r>
          </w:p>
          <w:p w14:paraId="28312B56">
            <w:pPr>
              <w:bidi w:val="0"/>
              <w:rPr>
                <w:sz w:val="21"/>
                <w:szCs w:val="21"/>
              </w:rPr>
            </w:pPr>
            <w:r>
              <w:rPr>
                <w:b/>
                <w:bCs/>
                <w:sz w:val="21"/>
                <w:szCs w:val="21"/>
                <w:lang w:val="en-US" w:eastAsia="zh-CN"/>
              </w:rPr>
              <w:t xml:space="preserve">ОБЯЗАТЕЛЬНАЯ доплата </w:t>
            </w:r>
            <w:r>
              <w:rPr>
                <w:sz w:val="21"/>
                <w:szCs w:val="21"/>
                <w:lang w:val="en-US" w:eastAsia="zh-CN"/>
              </w:rPr>
              <w:t>при необходимости использования дополнительного транспорта для пересечения границы (поезд, дополнительный автобус – доплата 30 евро).</w:t>
            </w:r>
          </w:p>
        </w:tc>
      </w:tr>
      <w:tr w14:paraId="46BB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wBefore w:w="15" w:type="dxa"/>
          <w:wAfter w:w="711" w:type="dxa"/>
        </w:trPr>
        <w:tc>
          <w:tcPr>
            <w:tcW w:w="10560" w:type="dxa"/>
            <w:shd w:val="clear"/>
            <w:tcMar>
              <w:left w:w="100" w:type="dxa"/>
              <w:right w:w="100" w:type="dxa"/>
            </w:tcMar>
            <w:vAlign w:val="center"/>
          </w:tcPr>
          <w:p w14:paraId="1496C1AB">
            <w:pPr>
              <w:bidi w:val="0"/>
              <w:rPr>
                <w:sz w:val="21"/>
                <w:szCs w:val="21"/>
              </w:rPr>
            </w:pPr>
            <w:r>
              <w:rPr>
                <w:sz w:val="21"/>
                <w:szCs w:val="21"/>
                <w:lang w:val="en-US" w:eastAsia="zh-CN"/>
              </w:rPr>
              <w:t>Проживание: отель*** в Венгрии. Туристы размещаются в 2-3-х местных номерах с удобствами.</w:t>
            </w:r>
          </w:p>
        </w:tc>
      </w:tr>
    </w:tbl>
    <w:p w14:paraId="7CF26B86">
      <w:pPr>
        <w:bidi w:val="0"/>
        <w:rPr>
          <w:sz w:val="21"/>
          <w:szCs w:val="21"/>
        </w:rPr>
      </w:pPr>
    </w:p>
    <w:sectPr>
      <w:pgSz w:w="11906" w:h="16838"/>
      <w:pgMar w:top="-426" w:right="566" w:bottom="0" w:left="28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39"/>
    <w:rsid w:val="00005674"/>
    <w:rsid w:val="00012C58"/>
    <w:rsid w:val="00012D0D"/>
    <w:rsid w:val="00015C93"/>
    <w:rsid w:val="0001701A"/>
    <w:rsid w:val="000201F8"/>
    <w:rsid w:val="0002306A"/>
    <w:rsid w:val="000275EC"/>
    <w:rsid w:val="00030CC4"/>
    <w:rsid w:val="00047314"/>
    <w:rsid w:val="000547F3"/>
    <w:rsid w:val="00056F39"/>
    <w:rsid w:val="000571C4"/>
    <w:rsid w:val="00060C28"/>
    <w:rsid w:val="0006241B"/>
    <w:rsid w:val="0006546A"/>
    <w:rsid w:val="000814F8"/>
    <w:rsid w:val="00082637"/>
    <w:rsid w:val="00087353"/>
    <w:rsid w:val="000A018D"/>
    <w:rsid w:val="000A06D9"/>
    <w:rsid w:val="000A507A"/>
    <w:rsid w:val="000A5AC4"/>
    <w:rsid w:val="000B6D83"/>
    <w:rsid w:val="000D0D08"/>
    <w:rsid w:val="000D1E57"/>
    <w:rsid w:val="000E0AA4"/>
    <w:rsid w:val="000E182F"/>
    <w:rsid w:val="000E5F57"/>
    <w:rsid w:val="000F6168"/>
    <w:rsid w:val="000F6DA1"/>
    <w:rsid w:val="00101AF4"/>
    <w:rsid w:val="001139D2"/>
    <w:rsid w:val="00113F4E"/>
    <w:rsid w:val="00114598"/>
    <w:rsid w:val="00124944"/>
    <w:rsid w:val="00125A40"/>
    <w:rsid w:val="0013784E"/>
    <w:rsid w:val="001408F9"/>
    <w:rsid w:val="00142B6B"/>
    <w:rsid w:val="001433CC"/>
    <w:rsid w:val="00143579"/>
    <w:rsid w:val="00144709"/>
    <w:rsid w:val="00151C22"/>
    <w:rsid w:val="001520A0"/>
    <w:rsid w:val="00152DFF"/>
    <w:rsid w:val="0015717A"/>
    <w:rsid w:val="0016604C"/>
    <w:rsid w:val="001728F6"/>
    <w:rsid w:val="001730D0"/>
    <w:rsid w:val="001756ED"/>
    <w:rsid w:val="0017747C"/>
    <w:rsid w:val="00180155"/>
    <w:rsid w:val="001858F7"/>
    <w:rsid w:val="00194B3E"/>
    <w:rsid w:val="00195B50"/>
    <w:rsid w:val="001A229C"/>
    <w:rsid w:val="001A2542"/>
    <w:rsid w:val="001A418A"/>
    <w:rsid w:val="001A4236"/>
    <w:rsid w:val="001A69E6"/>
    <w:rsid w:val="001B6E87"/>
    <w:rsid w:val="001B7F28"/>
    <w:rsid w:val="001C63E8"/>
    <w:rsid w:val="001C7389"/>
    <w:rsid w:val="001D6B16"/>
    <w:rsid w:val="001E1FED"/>
    <w:rsid w:val="001E3A00"/>
    <w:rsid w:val="001E784F"/>
    <w:rsid w:val="001F1BBF"/>
    <w:rsid w:val="001F6E3B"/>
    <w:rsid w:val="002050B4"/>
    <w:rsid w:val="00216247"/>
    <w:rsid w:val="0021653D"/>
    <w:rsid w:val="00221571"/>
    <w:rsid w:val="0022584C"/>
    <w:rsid w:val="00231197"/>
    <w:rsid w:val="00232C36"/>
    <w:rsid w:val="002345E3"/>
    <w:rsid w:val="00246670"/>
    <w:rsid w:val="0025008F"/>
    <w:rsid w:val="00255728"/>
    <w:rsid w:val="00255E43"/>
    <w:rsid w:val="002576A9"/>
    <w:rsid w:val="00261D9D"/>
    <w:rsid w:val="00261EA4"/>
    <w:rsid w:val="00273599"/>
    <w:rsid w:val="0027434E"/>
    <w:rsid w:val="00276936"/>
    <w:rsid w:val="0028172E"/>
    <w:rsid w:val="00281D63"/>
    <w:rsid w:val="00281D95"/>
    <w:rsid w:val="0028649A"/>
    <w:rsid w:val="00297020"/>
    <w:rsid w:val="002B01EE"/>
    <w:rsid w:val="002B029B"/>
    <w:rsid w:val="002B234A"/>
    <w:rsid w:val="002B5578"/>
    <w:rsid w:val="002B6BEA"/>
    <w:rsid w:val="002B7EE6"/>
    <w:rsid w:val="002C6C10"/>
    <w:rsid w:val="002D1DDA"/>
    <w:rsid w:val="002D30F1"/>
    <w:rsid w:val="002D3F89"/>
    <w:rsid w:val="002D436C"/>
    <w:rsid w:val="002D66FA"/>
    <w:rsid w:val="002E006D"/>
    <w:rsid w:val="002E1815"/>
    <w:rsid w:val="002F31BA"/>
    <w:rsid w:val="00306E5B"/>
    <w:rsid w:val="00315EA7"/>
    <w:rsid w:val="003236F2"/>
    <w:rsid w:val="003245CE"/>
    <w:rsid w:val="00324CCE"/>
    <w:rsid w:val="00325343"/>
    <w:rsid w:val="003303E2"/>
    <w:rsid w:val="0033273D"/>
    <w:rsid w:val="0033287D"/>
    <w:rsid w:val="0033324C"/>
    <w:rsid w:val="00340715"/>
    <w:rsid w:val="00341520"/>
    <w:rsid w:val="0034631D"/>
    <w:rsid w:val="003543D3"/>
    <w:rsid w:val="003558DE"/>
    <w:rsid w:val="00357B3F"/>
    <w:rsid w:val="003649BC"/>
    <w:rsid w:val="0037093B"/>
    <w:rsid w:val="00370B97"/>
    <w:rsid w:val="00374154"/>
    <w:rsid w:val="00380225"/>
    <w:rsid w:val="0038169A"/>
    <w:rsid w:val="0038290C"/>
    <w:rsid w:val="00385C2F"/>
    <w:rsid w:val="00391772"/>
    <w:rsid w:val="00391E2C"/>
    <w:rsid w:val="00396728"/>
    <w:rsid w:val="003A15E9"/>
    <w:rsid w:val="003A197E"/>
    <w:rsid w:val="003A57ED"/>
    <w:rsid w:val="003B08A1"/>
    <w:rsid w:val="003B5698"/>
    <w:rsid w:val="003B6D9A"/>
    <w:rsid w:val="003B77C5"/>
    <w:rsid w:val="003C1BD7"/>
    <w:rsid w:val="003C6594"/>
    <w:rsid w:val="003C6AF7"/>
    <w:rsid w:val="003D083D"/>
    <w:rsid w:val="003D30FA"/>
    <w:rsid w:val="003D53FD"/>
    <w:rsid w:val="003E0B6A"/>
    <w:rsid w:val="003E2D0D"/>
    <w:rsid w:val="003E6291"/>
    <w:rsid w:val="003E6F14"/>
    <w:rsid w:val="003F59D2"/>
    <w:rsid w:val="00400E62"/>
    <w:rsid w:val="00401336"/>
    <w:rsid w:val="00403058"/>
    <w:rsid w:val="00410984"/>
    <w:rsid w:val="00414FE9"/>
    <w:rsid w:val="00437FDA"/>
    <w:rsid w:val="00441AB6"/>
    <w:rsid w:val="00447670"/>
    <w:rsid w:val="00452E31"/>
    <w:rsid w:val="0045717C"/>
    <w:rsid w:val="004636B7"/>
    <w:rsid w:val="00464576"/>
    <w:rsid w:val="004702CE"/>
    <w:rsid w:val="00471907"/>
    <w:rsid w:val="00484285"/>
    <w:rsid w:val="004858F1"/>
    <w:rsid w:val="0049009C"/>
    <w:rsid w:val="004901AB"/>
    <w:rsid w:val="00495468"/>
    <w:rsid w:val="004A589C"/>
    <w:rsid w:val="004A6343"/>
    <w:rsid w:val="004A714B"/>
    <w:rsid w:val="004B0AA9"/>
    <w:rsid w:val="004B1CF6"/>
    <w:rsid w:val="004B2797"/>
    <w:rsid w:val="004B55EA"/>
    <w:rsid w:val="004C0698"/>
    <w:rsid w:val="004C34F1"/>
    <w:rsid w:val="004C35DE"/>
    <w:rsid w:val="004C4ADC"/>
    <w:rsid w:val="004C68B7"/>
    <w:rsid w:val="004D1598"/>
    <w:rsid w:val="004D2749"/>
    <w:rsid w:val="004D5B09"/>
    <w:rsid w:val="004D637B"/>
    <w:rsid w:val="004D6653"/>
    <w:rsid w:val="004E2025"/>
    <w:rsid w:val="004E2C4A"/>
    <w:rsid w:val="004E589F"/>
    <w:rsid w:val="004E5DF6"/>
    <w:rsid w:val="004F57EF"/>
    <w:rsid w:val="004F58B2"/>
    <w:rsid w:val="00503479"/>
    <w:rsid w:val="005043ED"/>
    <w:rsid w:val="00505FF0"/>
    <w:rsid w:val="00513FA7"/>
    <w:rsid w:val="0052008B"/>
    <w:rsid w:val="00521074"/>
    <w:rsid w:val="00525204"/>
    <w:rsid w:val="00533566"/>
    <w:rsid w:val="0053510E"/>
    <w:rsid w:val="0054006A"/>
    <w:rsid w:val="0054303E"/>
    <w:rsid w:val="0054794C"/>
    <w:rsid w:val="00557572"/>
    <w:rsid w:val="00560994"/>
    <w:rsid w:val="00562B30"/>
    <w:rsid w:val="00566634"/>
    <w:rsid w:val="0056665A"/>
    <w:rsid w:val="005678BE"/>
    <w:rsid w:val="00567D1B"/>
    <w:rsid w:val="00582F86"/>
    <w:rsid w:val="005843DD"/>
    <w:rsid w:val="00584F38"/>
    <w:rsid w:val="00586E06"/>
    <w:rsid w:val="00587271"/>
    <w:rsid w:val="00593125"/>
    <w:rsid w:val="005B0029"/>
    <w:rsid w:val="005B35E5"/>
    <w:rsid w:val="005B5D86"/>
    <w:rsid w:val="005C1D59"/>
    <w:rsid w:val="005C2D6F"/>
    <w:rsid w:val="005D15C1"/>
    <w:rsid w:val="005D1EA9"/>
    <w:rsid w:val="005E311A"/>
    <w:rsid w:val="005E34D5"/>
    <w:rsid w:val="005E708A"/>
    <w:rsid w:val="005E77DD"/>
    <w:rsid w:val="005F7078"/>
    <w:rsid w:val="0060117C"/>
    <w:rsid w:val="00606461"/>
    <w:rsid w:val="006105B8"/>
    <w:rsid w:val="00617A07"/>
    <w:rsid w:val="0062051A"/>
    <w:rsid w:val="006255F4"/>
    <w:rsid w:val="00642C32"/>
    <w:rsid w:val="00643FF9"/>
    <w:rsid w:val="006543A0"/>
    <w:rsid w:val="00661592"/>
    <w:rsid w:val="00663BFA"/>
    <w:rsid w:val="00666F29"/>
    <w:rsid w:val="006711D9"/>
    <w:rsid w:val="006718B5"/>
    <w:rsid w:val="00677007"/>
    <w:rsid w:val="00680115"/>
    <w:rsid w:val="006811EF"/>
    <w:rsid w:val="00687DCF"/>
    <w:rsid w:val="00691B8C"/>
    <w:rsid w:val="006A263E"/>
    <w:rsid w:val="006A3943"/>
    <w:rsid w:val="006A5C5E"/>
    <w:rsid w:val="006A5EBC"/>
    <w:rsid w:val="006A797E"/>
    <w:rsid w:val="006A7B2F"/>
    <w:rsid w:val="006B1DE6"/>
    <w:rsid w:val="006B4FD1"/>
    <w:rsid w:val="006C562D"/>
    <w:rsid w:val="006C5CEA"/>
    <w:rsid w:val="006D0370"/>
    <w:rsid w:val="006D0875"/>
    <w:rsid w:val="006D164B"/>
    <w:rsid w:val="006D3557"/>
    <w:rsid w:val="006D469B"/>
    <w:rsid w:val="006D5928"/>
    <w:rsid w:val="006E1645"/>
    <w:rsid w:val="006E231B"/>
    <w:rsid w:val="006E7C59"/>
    <w:rsid w:val="006F1CD2"/>
    <w:rsid w:val="006F41EF"/>
    <w:rsid w:val="006F7DB3"/>
    <w:rsid w:val="0070249D"/>
    <w:rsid w:val="00705DF3"/>
    <w:rsid w:val="007068C5"/>
    <w:rsid w:val="00706FDB"/>
    <w:rsid w:val="0071217C"/>
    <w:rsid w:val="0071243F"/>
    <w:rsid w:val="007218CE"/>
    <w:rsid w:val="00723523"/>
    <w:rsid w:val="00730583"/>
    <w:rsid w:val="00733631"/>
    <w:rsid w:val="00734612"/>
    <w:rsid w:val="00737A2F"/>
    <w:rsid w:val="007401B1"/>
    <w:rsid w:val="00740D0D"/>
    <w:rsid w:val="00745077"/>
    <w:rsid w:val="007458D3"/>
    <w:rsid w:val="00755404"/>
    <w:rsid w:val="00764340"/>
    <w:rsid w:val="00766B4F"/>
    <w:rsid w:val="00767657"/>
    <w:rsid w:val="00773B3C"/>
    <w:rsid w:val="00775D1C"/>
    <w:rsid w:val="00780D83"/>
    <w:rsid w:val="00782B88"/>
    <w:rsid w:val="00783216"/>
    <w:rsid w:val="0078434E"/>
    <w:rsid w:val="00785BAF"/>
    <w:rsid w:val="00791C7F"/>
    <w:rsid w:val="0079699F"/>
    <w:rsid w:val="007A3F92"/>
    <w:rsid w:val="007B19D8"/>
    <w:rsid w:val="007B5DE7"/>
    <w:rsid w:val="007C2FB7"/>
    <w:rsid w:val="007C41EF"/>
    <w:rsid w:val="007C60F9"/>
    <w:rsid w:val="007D4DA5"/>
    <w:rsid w:val="007D714C"/>
    <w:rsid w:val="007D7BBA"/>
    <w:rsid w:val="007F3BE5"/>
    <w:rsid w:val="007F66AD"/>
    <w:rsid w:val="00800C53"/>
    <w:rsid w:val="008028F5"/>
    <w:rsid w:val="00803BEB"/>
    <w:rsid w:val="00803FEB"/>
    <w:rsid w:val="00810022"/>
    <w:rsid w:val="00810641"/>
    <w:rsid w:val="00820A72"/>
    <w:rsid w:val="00826070"/>
    <w:rsid w:val="00827A91"/>
    <w:rsid w:val="00830D26"/>
    <w:rsid w:val="00831E68"/>
    <w:rsid w:val="0084239C"/>
    <w:rsid w:val="00846671"/>
    <w:rsid w:val="008505AB"/>
    <w:rsid w:val="008519F8"/>
    <w:rsid w:val="00852394"/>
    <w:rsid w:val="008533EA"/>
    <w:rsid w:val="00854403"/>
    <w:rsid w:val="008552FF"/>
    <w:rsid w:val="00873378"/>
    <w:rsid w:val="00873A33"/>
    <w:rsid w:val="008769ED"/>
    <w:rsid w:val="00877445"/>
    <w:rsid w:val="00880286"/>
    <w:rsid w:val="00880EAB"/>
    <w:rsid w:val="00881B9D"/>
    <w:rsid w:val="008836FC"/>
    <w:rsid w:val="00887B93"/>
    <w:rsid w:val="008949C2"/>
    <w:rsid w:val="0089596F"/>
    <w:rsid w:val="008A07A5"/>
    <w:rsid w:val="008A49DB"/>
    <w:rsid w:val="008B0152"/>
    <w:rsid w:val="008B0532"/>
    <w:rsid w:val="008B255A"/>
    <w:rsid w:val="008B3F99"/>
    <w:rsid w:val="008B5967"/>
    <w:rsid w:val="008C15E2"/>
    <w:rsid w:val="008C21D1"/>
    <w:rsid w:val="008C4486"/>
    <w:rsid w:val="008C4575"/>
    <w:rsid w:val="008D04C9"/>
    <w:rsid w:val="008D1441"/>
    <w:rsid w:val="008D301A"/>
    <w:rsid w:val="008D5712"/>
    <w:rsid w:val="008E2F52"/>
    <w:rsid w:val="008F2BEF"/>
    <w:rsid w:val="0090032F"/>
    <w:rsid w:val="00906440"/>
    <w:rsid w:val="009137CA"/>
    <w:rsid w:val="00914D10"/>
    <w:rsid w:val="00917A49"/>
    <w:rsid w:val="0092050C"/>
    <w:rsid w:val="009225E0"/>
    <w:rsid w:val="009300B8"/>
    <w:rsid w:val="00932031"/>
    <w:rsid w:val="009455C4"/>
    <w:rsid w:val="00947AC3"/>
    <w:rsid w:val="00950ECA"/>
    <w:rsid w:val="009515F8"/>
    <w:rsid w:val="00963746"/>
    <w:rsid w:val="00970E13"/>
    <w:rsid w:val="00971844"/>
    <w:rsid w:val="00974FD2"/>
    <w:rsid w:val="00980B7B"/>
    <w:rsid w:val="009871A1"/>
    <w:rsid w:val="0099165C"/>
    <w:rsid w:val="00991B7D"/>
    <w:rsid w:val="009A6B15"/>
    <w:rsid w:val="009B0C7E"/>
    <w:rsid w:val="009B19D1"/>
    <w:rsid w:val="009B2A67"/>
    <w:rsid w:val="009B3D20"/>
    <w:rsid w:val="009B4B1B"/>
    <w:rsid w:val="009B5F1B"/>
    <w:rsid w:val="009C4825"/>
    <w:rsid w:val="009D2E15"/>
    <w:rsid w:val="009D64C6"/>
    <w:rsid w:val="009E1C80"/>
    <w:rsid w:val="009E2580"/>
    <w:rsid w:val="009E3106"/>
    <w:rsid w:val="009E706B"/>
    <w:rsid w:val="00A006FA"/>
    <w:rsid w:val="00A0245C"/>
    <w:rsid w:val="00A060CC"/>
    <w:rsid w:val="00A06F7A"/>
    <w:rsid w:val="00A15D14"/>
    <w:rsid w:val="00A16037"/>
    <w:rsid w:val="00A2056F"/>
    <w:rsid w:val="00A23ABA"/>
    <w:rsid w:val="00A270A1"/>
    <w:rsid w:val="00A30ABD"/>
    <w:rsid w:val="00A339AF"/>
    <w:rsid w:val="00A33B72"/>
    <w:rsid w:val="00A34CC2"/>
    <w:rsid w:val="00A3502E"/>
    <w:rsid w:val="00A3561B"/>
    <w:rsid w:val="00A35A7A"/>
    <w:rsid w:val="00A40871"/>
    <w:rsid w:val="00A40C58"/>
    <w:rsid w:val="00A428BE"/>
    <w:rsid w:val="00A45684"/>
    <w:rsid w:val="00A477FC"/>
    <w:rsid w:val="00A50A52"/>
    <w:rsid w:val="00A518AA"/>
    <w:rsid w:val="00A56386"/>
    <w:rsid w:val="00A568B5"/>
    <w:rsid w:val="00A6130D"/>
    <w:rsid w:val="00A74DB7"/>
    <w:rsid w:val="00A80C95"/>
    <w:rsid w:val="00A908AB"/>
    <w:rsid w:val="00A92AB0"/>
    <w:rsid w:val="00A930F1"/>
    <w:rsid w:val="00A93B61"/>
    <w:rsid w:val="00A93D6F"/>
    <w:rsid w:val="00AA1287"/>
    <w:rsid w:val="00AA2706"/>
    <w:rsid w:val="00AA7B0D"/>
    <w:rsid w:val="00AB4616"/>
    <w:rsid w:val="00AB5778"/>
    <w:rsid w:val="00AC6195"/>
    <w:rsid w:val="00AC71CD"/>
    <w:rsid w:val="00AD1D85"/>
    <w:rsid w:val="00AD395D"/>
    <w:rsid w:val="00AD4905"/>
    <w:rsid w:val="00AE0376"/>
    <w:rsid w:val="00AE3907"/>
    <w:rsid w:val="00AF6D4D"/>
    <w:rsid w:val="00B07B47"/>
    <w:rsid w:val="00B1291E"/>
    <w:rsid w:val="00B14D6B"/>
    <w:rsid w:val="00B14FE1"/>
    <w:rsid w:val="00B17D4D"/>
    <w:rsid w:val="00B20063"/>
    <w:rsid w:val="00B25133"/>
    <w:rsid w:val="00B30C22"/>
    <w:rsid w:val="00B319F0"/>
    <w:rsid w:val="00B3423B"/>
    <w:rsid w:val="00B508BE"/>
    <w:rsid w:val="00B528CE"/>
    <w:rsid w:val="00B57899"/>
    <w:rsid w:val="00B57AE4"/>
    <w:rsid w:val="00B613AD"/>
    <w:rsid w:val="00B61B8A"/>
    <w:rsid w:val="00B7101D"/>
    <w:rsid w:val="00B76909"/>
    <w:rsid w:val="00B812B3"/>
    <w:rsid w:val="00B85439"/>
    <w:rsid w:val="00B85A92"/>
    <w:rsid w:val="00B87097"/>
    <w:rsid w:val="00B921BB"/>
    <w:rsid w:val="00B948EE"/>
    <w:rsid w:val="00B97F9C"/>
    <w:rsid w:val="00BA0FC0"/>
    <w:rsid w:val="00BA6A6A"/>
    <w:rsid w:val="00BA7447"/>
    <w:rsid w:val="00BB6062"/>
    <w:rsid w:val="00BB774A"/>
    <w:rsid w:val="00BD514F"/>
    <w:rsid w:val="00BD6FDD"/>
    <w:rsid w:val="00BE0662"/>
    <w:rsid w:val="00BE1FAA"/>
    <w:rsid w:val="00BE7E36"/>
    <w:rsid w:val="00BF4119"/>
    <w:rsid w:val="00BF7C6B"/>
    <w:rsid w:val="00C01B0C"/>
    <w:rsid w:val="00C03C1A"/>
    <w:rsid w:val="00C20B0F"/>
    <w:rsid w:val="00C257A6"/>
    <w:rsid w:val="00C27042"/>
    <w:rsid w:val="00C302B4"/>
    <w:rsid w:val="00C3423D"/>
    <w:rsid w:val="00C36144"/>
    <w:rsid w:val="00C506C3"/>
    <w:rsid w:val="00C51EED"/>
    <w:rsid w:val="00C57138"/>
    <w:rsid w:val="00C60091"/>
    <w:rsid w:val="00C6156C"/>
    <w:rsid w:val="00C630B8"/>
    <w:rsid w:val="00C636A7"/>
    <w:rsid w:val="00C66365"/>
    <w:rsid w:val="00C6688B"/>
    <w:rsid w:val="00C705DE"/>
    <w:rsid w:val="00C72A8C"/>
    <w:rsid w:val="00C73338"/>
    <w:rsid w:val="00C74C56"/>
    <w:rsid w:val="00C81191"/>
    <w:rsid w:val="00C8559B"/>
    <w:rsid w:val="00C93653"/>
    <w:rsid w:val="00C97AC5"/>
    <w:rsid w:val="00CA16FB"/>
    <w:rsid w:val="00CB2E2C"/>
    <w:rsid w:val="00CB48E2"/>
    <w:rsid w:val="00CB7158"/>
    <w:rsid w:val="00CC0620"/>
    <w:rsid w:val="00CC133F"/>
    <w:rsid w:val="00CC3DE6"/>
    <w:rsid w:val="00CD1923"/>
    <w:rsid w:val="00CD4455"/>
    <w:rsid w:val="00CF349D"/>
    <w:rsid w:val="00D069EE"/>
    <w:rsid w:val="00D11919"/>
    <w:rsid w:val="00D1586C"/>
    <w:rsid w:val="00D173E6"/>
    <w:rsid w:val="00D2179E"/>
    <w:rsid w:val="00D217B7"/>
    <w:rsid w:val="00D23777"/>
    <w:rsid w:val="00D351C7"/>
    <w:rsid w:val="00D40A2D"/>
    <w:rsid w:val="00D50DC9"/>
    <w:rsid w:val="00D53406"/>
    <w:rsid w:val="00D64130"/>
    <w:rsid w:val="00D67575"/>
    <w:rsid w:val="00D738EA"/>
    <w:rsid w:val="00D77723"/>
    <w:rsid w:val="00D85F70"/>
    <w:rsid w:val="00D910AF"/>
    <w:rsid w:val="00DA4013"/>
    <w:rsid w:val="00DA63E5"/>
    <w:rsid w:val="00DB2C4B"/>
    <w:rsid w:val="00DB5A67"/>
    <w:rsid w:val="00DB7402"/>
    <w:rsid w:val="00DC5F8D"/>
    <w:rsid w:val="00DD3DE9"/>
    <w:rsid w:val="00DE51B6"/>
    <w:rsid w:val="00DF22A8"/>
    <w:rsid w:val="00DF3353"/>
    <w:rsid w:val="00E005E0"/>
    <w:rsid w:val="00E0185E"/>
    <w:rsid w:val="00E12DB1"/>
    <w:rsid w:val="00E12E4F"/>
    <w:rsid w:val="00E14951"/>
    <w:rsid w:val="00E152EE"/>
    <w:rsid w:val="00E22616"/>
    <w:rsid w:val="00E32494"/>
    <w:rsid w:val="00E33484"/>
    <w:rsid w:val="00E33C44"/>
    <w:rsid w:val="00E41ACD"/>
    <w:rsid w:val="00E455F4"/>
    <w:rsid w:val="00E461EF"/>
    <w:rsid w:val="00E5063A"/>
    <w:rsid w:val="00E530A6"/>
    <w:rsid w:val="00E665D5"/>
    <w:rsid w:val="00E67B5D"/>
    <w:rsid w:val="00E725C9"/>
    <w:rsid w:val="00E76BE4"/>
    <w:rsid w:val="00E773D1"/>
    <w:rsid w:val="00E84CFD"/>
    <w:rsid w:val="00E861BC"/>
    <w:rsid w:val="00E86F6B"/>
    <w:rsid w:val="00E91449"/>
    <w:rsid w:val="00E921F3"/>
    <w:rsid w:val="00E94671"/>
    <w:rsid w:val="00E95589"/>
    <w:rsid w:val="00EA4D84"/>
    <w:rsid w:val="00EA50C7"/>
    <w:rsid w:val="00EA5979"/>
    <w:rsid w:val="00EA6CF4"/>
    <w:rsid w:val="00EB1D7A"/>
    <w:rsid w:val="00EB2441"/>
    <w:rsid w:val="00EB2B40"/>
    <w:rsid w:val="00EC24C5"/>
    <w:rsid w:val="00EC2971"/>
    <w:rsid w:val="00EC72BC"/>
    <w:rsid w:val="00ED7EA4"/>
    <w:rsid w:val="00EE29EE"/>
    <w:rsid w:val="00EE447F"/>
    <w:rsid w:val="00EF03A5"/>
    <w:rsid w:val="00EF1054"/>
    <w:rsid w:val="00EF40A0"/>
    <w:rsid w:val="00EF45CF"/>
    <w:rsid w:val="00EF4689"/>
    <w:rsid w:val="00EF5772"/>
    <w:rsid w:val="00EF5A5C"/>
    <w:rsid w:val="00F0131E"/>
    <w:rsid w:val="00F05E2B"/>
    <w:rsid w:val="00F07D92"/>
    <w:rsid w:val="00F10DE3"/>
    <w:rsid w:val="00F14CE4"/>
    <w:rsid w:val="00F21745"/>
    <w:rsid w:val="00F228E6"/>
    <w:rsid w:val="00F24CE1"/>
    <w:rsid w:val="00F307D4"/>
    <w:rsid w:val="00F3096C"/>
    <w:rsid w:val="00F34B5D"/>
    <w:rsid w:val="00F35A16"/>
    <w:rsid w:val="00F4439A"/>
    <w:rsid w:val="00F44D6E"/>
    <w:rsid w:val="00F50006"/>
    <w:rsid w:val="00F5177F"/>
    <w:rsid w:val="00F52001"/>
    <w:rsid w:val="00F53763"/>
    <w:rsid w:val="00F541CD"/>
    <w:rsid w:val="00F54EBC"/>
    <w:rsid w:val="00F55F67"/>
    <w:rsid w:val="00F617EE"/>
    <w:rsid w:val="00F706FA"/>
    <w:rsid w:val="00F74338"/>
    <w:rsid w:val="00F9029B"/>
    <w:rsid w:val="00F90BE2"/>
    <w:rsid w:val="00FA6030"/>
    <w:rsid w:val="00FB08D4"/>
    <w:rsid w:val="00FB0953"/>
    <w:rsid w:val="00FB467C"/>
    <w:rsid w:val="00FC7897"/>
    <w:rsid w:val="00FD52FD"/>
    <w:rsid w:val="00FF1B13"/>
    <w:rsid w:val="00FF47E4"/>
    <w:rsid w:val="00FF6E66"/>
    <w:rsid w:val="00FF70D3"/>
    <w:rsid w:val="29E96D3C"/>
    <w:rsid w:val="37D50951"/>
    <w:rsid w:val="3EE45EEF"/>
    <w:rsid w:val="6FF92EC0"/>
    <w:rsid w:val="7ED4649F"/>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8"/>
    <w:qFormat/>
    <w:uiPriority w:val="99"/>
    <w:pPr>
      <w:keepNext/>
      <w:spacing w:before="240" w:after="60"/>
      <w:outlineLvl w:val="0"/>
    </w:pPr>
    <w:rPr>
      <w:rFonts w:ascii="Arial" w:hAnsi="Arial" w:cs="Arial"/>
      <w:b/>
      <w:bCs/>
      <w:kern w:val="32"/>
      <w:sz w:val="32"/>
      <w:szCs w:val="32"/>
    </w:rPr>
  </w:style>
  <w:style w:type="paragraph" w:styleId="3">
    <w:name w:val="heading 2"/>
    <w:basedOn w:val="1"/>
    <w:next w:val="1"/>
    <w:link w:val="19"/>
    <w:qFormat/>
    <w:uiPriority w:val="99"/>
    <w:pPr>
      <w:keepNext/>
      <w:jc w:val="right"/>
      <w:outlineLvl w:val="1"/>
    </w:pPr>
    <w:rPr>
      <w:sz w:val="28"/>
    </w:rPr>
  </w:style>
  <w:style w:type="paragraph" w:styleId="4">
    <w:name w:val="heading 3"/>
    <w:basedOn w:val="1"/>
    <w:next w:val="1"/>
    <w:link w:val="30"/>
    <w:semiHidden/>
    <w:unhideWhenUsed/>
    <w:qFormat/>
    <w:locked/>
    <w:uiPriority w:val="0"/>
    <w:pPr>
      <w:keepNext/>
      <w:keepLines/>
      <w:spacing w:before="40"/>
      <w:outlineLvl w:val="2"/>
    </w:pPr>
    <w:rPr>
      <w:rFonts w:asciiTheme="majorHAnsi" w:hAnsiTheme="majorHAnsi" w:eastAsiaTheme="majorEastAsia" w:cstheme="majorBidi"/>
      <w:color w:val="254061" w:themeColor="accent1" w:themeShade="80"/>
    </w:rPr>
  </w:style>
  <w:style w:type="paragraph" w:styleId="5">
    <w:name w:val="heading 4"/>
    <w:basedOn w:val="1"/>
    <w:next w:val="1"/>
    <w:link w:val="28"/>
    <w:semiHidden/>
    <w:unhideWhenUsed/>
    <w:qFormat/>
    <w:locked/>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qFormat/>
    <w:uiPriority w:val="99"/>
    <w:rPr>
      <w:rFonts w:cs="Times New Roman"/>
      <w:color w:val="0000FF"/>
      <w:u w:val="single"/>
    </w:rPr>
  </w:style>
  <w:style w:type="character" w:styleId="9">
    <w:name w:val="Strong"/>
    <w:basedOn w:val="6"/>
    <w:qFormat/>
    <w:uiPriority w:val="0"/>
    <w:rPr>
      <w:rFonts w:cs="Times New Roman"/>
      <w:b/>
    </w:rPr>
  </w:style>
  <w:style w:type="paragraph" w:styleId="10">
    <w:name w:val="Balloon Text"/>
    <w:basedOn w:val="1"/>
    <w:link w:val="24"/>
    <w:semiHidden/>
    <w:qFormat/>
    <w:uiPriority w:val="99"/>
    <w:rPr>
      <w:rFonts w:ascii="Tahoma" w:hAnsi="Tahoma" w:cs="Tahoma"/>
      <w:sz w:val="16"/>
      <w:szCs w:val="16"/>
    </w:rPr>
  </w:style>
  <w:style w:type="paragraph" w:styleId="11">
    <w:name w:val="Document Map"/>
    <w:basedOn w:val="1"/>
    <w:link w:val="25"/>
    <w:semiHidden/>
    <w:qFormat/>
    <w:uiPriority w:val="99"/>
    <w:pPr>
      <w:shd w:val="clear" w:color="auto" w:fill="000080"/>
    </w:pPr>
    <w:rPr>
      <w:rFonts w:ascii="Tahoma" w:hAnsi="Tahoma" w:cs="Tahoma"/>
      <w:sz w:val="20"/>
      <w:szCs w:val="20"/>
    </w:rPr>
  </w:style>
  <w:style w:type="paragraph" w:styleId="12">
    <w:name w:val="header"/>
    <w:basedOn w:val="1"/>
    <w:link w:val="20"/>
    <w:qFormat/>
    <w:uiPriority w:val="99"/>
    <w:pPr>
      <w:tabs>
        <w:tab w:val="center" w:pos="4677"/>
        <w:tab w:val="right" w:pos="9355"/>
      </w:tabs>
    </w:pPr>
  </w:style>
  <w:style w:type="paragraph" w:styleId="13">
    <w:name w:val="Body Text"/>
    <w:basedOn w:val="1"/>
    <w:link w:val="22"/>
    <w:qFormat/>
    <w:uiPriority w:val="99"/>
    <w:pPr>
      <w:jc w:val="both"/>
    </w:pPr>
    <w:rPr>
      <w:sz w:val="28"/>
    </w:rPr>
  </w:style>
  <w:style w:type="paragraph" w:styleId="14">
    <w:name w:val="Title"/>
    <w:basedOn w:val="1"/>
    <w:link w:val="23"/>
    <w:qFormat/>
    <w:uiPriority w:val="0"/>
    <w:pPr>
      <w:ind w:left="426"/>
      <w:jc w:val="center"/>
    </w:pPr>
    <w:rPr>
      <w:sz w:val="36"/>
      <w:szCs w:val="20"/>
    </w:rPr>
  </w:style>
  <w:style w:type="paragraph" w:styleId="15">
    <w:name w:val="footer"/>
    <w:basedOn w:val="1"/>
    <w:link w:val="21"/>
    <w:qFormat/>
    <w:uiPriority w:val="99"/>
    <w:pPr>
      <w:tabs>
        <w:tab w:val="center" w:pos="4677"/>
        <w:tab w:val="right" w:pos="9355"/>
      </w:tabs>
    </w:pPr>
  </w:style>
  <w:style w:type="paragraph" w:styleId="16">
    <w:name w:val="Normal (Web)"/>
    <w:basedOn w:val="1"/>
    <w:unhideWhenUsed/>
    <w:qFormat/>
    <w:uiPriority w:val="99"/>
    <w:pPr>
      <w:spacing w:before="100" w:beforeAutospacing="1" w:after="100" w:afterAutospacing="1"/>
    </w:pPr>
  </w:style>
  <w:style w:type="table" w:styleId="17">
    <w:name w:val="Table Grid"/>
    <w:basedOn w:val="7"/>
    <w:qFormat/>
    <w:uiPriority w:val="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6"/>
    <w:link w:val="2"/>
    <w:qFormat/>
    <w:locked/>
    <w:uiPriority w:val="99"/>
    <w:rPr>
      <w:rFonts w:ascii="Cambria" w:hAnsi="Cambria" w:cs="Times New Roman"/>
      <w:b/>
      <w:bCs/>
      <w:kern w:val="32"/>
      <w:sz w:val="32"/>
      <w:szCs w:val="32"/>
    </w:rPr>
  </w:style>
  <w:style w:type="character" w:customStyle="1" w:styleId="19">
    <w:name w:val="Заголовок 2 Знак"/>
    <w:basedOn w:val="6"/>
    <w:link w:val="3"/>
    <w:semiHidden/>
    <w:qFormat/>
    <w:locked/>
    <w:uiPriority w:val="99"/>
    <w:rPr>
      <w:rFonts w:ascii="Cambria" w:hAnsi="Cambria" w:cs="Times New Roman"/>
      <w:b/>
      <w:bCs/>
      <w:i/>
      <w:iCs/>
      <w:sz w:val="28"/>
      <w:szCs w:val="28"/>
    </w:rPr>
  </w:style>
  <w:style w:type="character" w:customStyle="1" w:styleId="20">
    <w:name w:val="Верхний колонтитул Знак"/>
    <w:basedOn w:val="6"/>
    <w:link w:val="12"/>
    <w:semiHidden/>
    <w:qFormat/>
    <w:locked/>
    <w:uiPriority w:val="99"/>
    <w:rPr>
      <w:rFonts w:cs="Times New Roman"/>
      <w:sz w:val="24"/>
      <w:szCs w:val="24"/>
    </w:rPr>
  </w:style>
  <w:style w:type="character" w:customStyle="1" w:styleId="21">
    <w:name w:val="Нижний колонтитул Знак"/>
    <w:basedOn w:val="6"/>
    <w:link w:val="15"/>
    <w:semiHidden/>
    <w:qFormat/>
    <w:locked/>
    <w:uiPriority w:val="99"/>
    <w:rPr>
      <w:rFonts w:cs="Times New Roman"/>
      <w:sz w:val="24"/>
      <w:szCs w:val="24"/>
    </w:rPr>
  </w:style>
  <w:style w:type="character" w:customStyle="1" w:styleId="22">
    <w:name w:val="Основной текст Знак"/>
    <w:basedOn w:val="6"/>
    <w:link w:val="13"/>
    <w:semiHidden/>
    <w:qFormat/>
    <w:locked/>
    <w:uiPriority w:val="99"/>
    <w:rPr>
      <w:rFonts w:cs="Times New Roman"/>
      <w:sz w:val="24"/>
      <w:szCs w:val="24"/>
    </w:rPr>
  </w:style>
  <w:style w:type="character" w:customStyle="1" w:styleId="23">
    <w:name w:val="Заголовок Знак"/>
    <w:basedOn w:val="6"/>
    <w:link w:val="14"/>
    <w:qFormat/>
    <w:locked/>
    <w:uiPriority w:val="0"/>
    <w:rPr>
      <w:rFonts w:ascii="Cambria" w:hAnsi="Cambria" w:cs="Times New Roman"/>
      <w:b/>
      <w:bCs/>
      <w:kern w:val="28"/>
      <w:sz w:val="32"/>
      <w:szCs w:val="32"/>
    </w:rPr>
  </w:style>
  <w:style w:type="character" w:customStyle="1" w:styleId="24">
    <w:name w:val="Текст выноски Знак"/>
    <w:basedOn w:val="6"/>
    <w:link w:val="10"/>
    <w:semiHidden/>
    <w:qFormat/>
    <w:locked/>
    <w:uiPriority w:val="99"/>
    <w:rPr>
      <w:rFonts w:ascii="Tahoma" w:hAnsi="Tahoma" w:cs="Tahoma"/>
      <w:sz w:val="16"/>
      <w:szCs w:val="16"/>
    </w:rPr>
  </w:style>
  <w:style w:type="character" w:customStyle="1" w:styleId="25">
    <w:name w:val="Схема документа Знак"/>
    <w:basedOn w:val="6"/>
    <w:link w:val="11"/>
    <w:semiHidden/>
    <w:qFormat/>
    <w:locked/>
    <w:uiPriority w:val="99"/>
    <w:rPr>
      <w:rFonts w:ascii="Tahoma" w:hAnsi="Tahoma" w:cs="Tahoma"/>
      <w:sz w:val="16"/>
      <w:szCs w:val="16"/>
    </w:rPr>
  </w:style>
  <w:style w:type="character" w:customStyle="1" w:styleId="26">
    <w:name w:val="pagehead"/>
    <w:basedOn w:val="6"/>
    <w:qFormat/>
    <w:uiPriority w:val="0"/>
  </w:style>
  <w:style w:type="paragraph" w:styleId="27">
    <w:name w:val="List Paragraph"/>
    <w:basedOn w:val="1"/>
    <w:qFormat/>
    <w:uiPriority w:val="34"/>
    <w:pPr>
      <w:ind w:left="720"/>
      <w:contextualSpacing/>
    </w:pPr>
  </w:style>
  <w:style w:type="character" w:customStyle="1" w:styleId="28">
    <w:name w:val="Заголовок 4 Знак"/>
    <w:basedOn w:val="6"/>
    <w:link w:val="5"/>
    <w:semiHidden/>
    <w:qFormat/>
    <w:uiPriority w:val="0"/>
    <w:rPr>
      <w:rFonts w:asciiTheme="majorHAnsi" w:hAnsiTheme="majorHAnsi" w:eastAsiaTheme="majorEastAsia" w:cstheme="majorBidi"/>
      <w:i/>
      <w:iCs/>
      <w:color w:val="376092" w:themeColor="accent1" w:themeShade="BF"/>
      <w:sz w:val="24"/>
      <w:szCs w:val="24"/>
    </w:rPr>
  </w:style>
  <w:style w:type="character" w:customStyle="1" w:styleId="29">
    <w:name w:val="apple-tab-span"/>
    <w:basedOn w:val="6"/>
    <w:qFormat/>
    <w:uiPriority w:val="0"/>
  </w:style>
  <w:style w:type="character" w:customStyle="1" w:styleId="30">
    <w:name w:val="Заголовок 3 Знак"/>
    <w:basedOn w:val="6"/>
    <w:link w:val="4"/>
    <w:semiHidden/>
    <w:qFormat/>
    <w:uiPriority w:val="0"/>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E42E-87DA-4312-A93E-75850B011678}">
  <ds:schemaRefs/>
</ds:datastoreItem>
</file>

<file path=docProps/app.xml><?xml version="1.0" encoding="utf-8"?>
<Properties xmlns="http://schemas.openxmlformats.org/officeDocument/2006/extended-properties" xmlns:vt="http://schemas.openxmlformats.org/officeDocument/2006/docPropsVTypes">
  <Template>Normal</Template>
  <Company>Fiorino</Company>
  <Pages>1</Pages>
  <Words>1108</Words>
  <Characters>6318</Characters>
  <Lines>52</Lines>
  <Paragraphs>14</Paragraphs>
  <TotalTime>24</TotalTime>
  <ScaleCrop>false</ScaleCrop>
  <LinksUpToDate>false</LinksUpToDate>
  <CharactersWithSpaces>7412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2023-06-07T13:06:00Z</dcterms:created>
  <dc:creator>user</dc:creator>
  <cp:lastModifiedBy>Антонина Трофимова</cp:lastModifiedBy>
  <cp:lastPrinted>2026-01-21T13:43:51Z</cp:lastPrinted>
  <dcterms:modified xsi:type="dcterms:W3CDTF">2026-01-21T13:44:00Z</dcterms:modified>
  <dc:title>ОБУЧАЮЩАЯ ПРОГРАММА ПО ПАРИКМАХЕРСКОМУ ИСКУССТВУ В ИТАЛИИ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F8F01ED988E0488BAB141ED6EED8D8EC_13</vt:lpwstr>
  </property>
</Properties>
</file>